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Värnamo kommunfullmäktige</w:t>
      </w:r>
    </w:p>
    <w:p>
      <w:pPr>
        <w:pStyle w:val="Heading1"/>
      </w:pPr>
      <w:r>
        <w:t xml:space="preserve">Bättre vägar – underhållsplan för lokala gator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Värnamo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tekniska förvaltning rapporterar att 35 procent av de kommunala vägarna har bristande standard 2025. Trafikverket och invånare har påtalat problem med potthål och cykelbanor.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Värnamo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tioårig underhållsplan för kommunala vägar med årlig budget på 8 miljoner kronor.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cykelbanor i centrum och till 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digital felanmälan för vägar med garanterad åtgärdstid.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vägarnas standard i tekniska nämndens årsrapport.</w:t>
      </w:r>
    </w:p>
    <w:p>
      <w:pPr>
        <w:spacing w:before="360"/>
      </w:pPr>
    </w:p>
    <w:p>
      <w:r>
        <w:t xml:space="preserve">Värnamo,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Värnamo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2026-06-06T01:48:33.529Z</dcterms:created>
  <dcterms:modified xsi:type="dcterms:W3CDTF">2026-06-06T01:48:33.529Z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